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16C3" w:rsidRPr="00A875A4" w:rsidRDefault="00A875A4">
      <w:pPr>
        <w:rPr>
          <w:rFonts w:ascii="Times New Roman" w:hAnsi="Times New Roman" w:cs="Times New Roman"/>
          <w:sz w:val="24"/>
          <w:szCs w:val="24"/>
        </w:rPr>
      </w:pPr>
      <w:r w:rsidRPr="00A875A4">
        <w:rPr>
          <w:rFonts w:ascii="Times New Roman" w:hAnsi="Times New Roman" w:cs="Times New Roman"/>
          <w:sz w:val="24"/>
          <w:szCs w:val="24"/>
        </w:rPr>
        <w:t>Student’s Name</w:t>
      </w:r>
    </w:p>
    <w:p w:rsidR="00A875A4" w:rsidRPr="00A875A4" w:rsidRDefault="00A875A4">
      <w:pPr>
        <w:rPr>
          <w:rFonts w:ascii="Times New Roman" w:hAnsi="Times New Roman" w:cs="Times New Roman"/>
          <w:sz w:val="24"/>
          <w:szCs w:val="24"/>
        </w:rPr>
      </w:pPr>
      <w:r w:rsidRPr="00A875A4">
        <w:rPr>
          <w:rFonts w:ascii="Times New Roman" w:hAnsi="Times New Roman" w:cs="Times New Roman"/>
          <w:sz w:val="24"/>
          <w:szCs w:val="24"/>
        </w:rPr>
        <w:t>Professor’s Name</w:t>
      </w:r>
    </w:p>
    <w:p w:rsidR="00A875A4" w:rsidRPr="00A875A4" w:rsidRDefault="00A875A4">
      <w:pPr>
        <w:rPr>
          <w:rFonts w:ascii="Times New Roman" w:hAnsi="Times New Roman" w:cs="Times New Roman"/>
          <w:sz w:val="24"/>
          <w:szCs w:val="24"/>
        </w:rPr>
      </w:pPr>
      <w:r w:rsidRPr="00A875A4">
        <w:rPr>
          <w:rFonts w:ascii="Times New Roman" w:hAnsi="Times New Roman" w:cs="Times New Roman"/>
          <w:sz w:val="24"/>
          <w:szCs w:val="24"/>
        </w:rPr>
        <w:t>Course</w:t>
      </w:r>
    </w:p>
    <w:p w:rsidR="00A875A4" w:rsidRDefault="00A875A4">
      <w:pPr>
        <w:rPr>
          <w:rFonts w:ascii="Times New Roman" w:hAnsi="Times New Roman" w:cs="Times New Roman"/>
          <w:sz w:val="24"/>
          <w:szCs w:val="24"/>
        </w:rPr>
      </w:pPr>
      <w:r w:rsidRPr="00A875A4">
        <w:rPr>
          <w:rFonts w:ascii="Times New Roman" w:hAnsi="Times New Roman" w:cs="Times New Roman"/>
          <w:sz w:val="24"/>
          <w:szCs w:val="24"/>
        </w:rPr>
        <w:t>Date</w:t>
      </w:r>
    </w:p>
    <w:p w:rsidR="00A875A4" w:rsidRPr="0067795E" w:rsidRDefault="00A875A4" w:rsidP="0067795E">
      <w:pPr>
        <w:jc w:val="center"/>
        <w:rPr>
          <w:rFonts w:ascii="Times New Roman" w:hAnsi="Times New Roman" w:cs="Times New Roman"/>
          <w:b/>
          <w:sz w:val="24"/>
          <w:szCs w:val="24"/>
        </w:rPr>
      </w:pPr>
      <w:r w:rsidRPr="0067795E">
        <w:rPr>
          <w:rFonts w:ascii="Times New Roman" w:hAnsi="Times New Roman" w:cs="Times New Roman"/>
          <w:b/>
          <w:sz w:val="24"/>
          <w:szCs w:val="24"/>
        </w:rPr>
        <w:t>A Case Study of type of Assault Performance and Charges</w:t>
      </w:r>
    </w:p>
    <w:p w:rsidR="00B04C4B" w:rsidRDefault="00F7268E" w:rsidP="00F7268E">
      <w:pPr>
        <w:rPr>
          <w:rFonts w:ascii="Times New Roman" w:hAnsi="Times New Roman" w:cs="Times New Roman"/>
          <w:sz w:val="24"/>
          <w:szCs w:val="24"/>
        </w:rPr>
      </w:pPr>
      <w:r>
        <w:rPr>
          <w:rFonts w:ascii="Times New Roman" w:hAnsi="Times New Roman" w:cs="Times New Roman"/>
          <w:sz w:val="24"/>
          <w:szCs w:val="24"/>
        </w:rPr>
        <w:t xml:space="preserve"> </w:t>
      </w:r>
      <w:r w:rsidR="004E37D3">
        <w:rPr>
          <w:rFonts w:ascii="Times New Roman" w:hAnsi="Times New Roman" w:cs="Times New Roman"/>
          <w:sz w:val="24"/>
          <w:szCs w:val="24"/>
        </w:rPr>
        <w:tab/>
      </w:r>
      <w:r w:rsidR="00BB5309">
        <w:rPr>
          <w:rFonts w:ascii="Times New Roman" w:hAnsi="Times New Roman" w:cs="Times New Roman"/>
          <w:sz w:val="24"/>
          <w:szCs w:val="24"/>
        </w:rPr>
        <w:t>Case number 1111111, dated 13</w:t>
      </w:r>
      <w:r w:rsidR="00BB5309" w:rsidRPr="00BB5309">
        <w:rPr>
          <w:rFonts w:ascii="Times New Roman" w:hAnsi="Times New Roman" w:cs="Times New Roman"/>
          <w:sz w:val="24"/>
          <w:szCs w:val="24"/>
          <w:vertAlign w:val="superscript"/>
        </w:rPr>
        <w:t>th</w:t>
      </w:r>
      <w:r w:rsidR="00BB5309">
        <w:rPr>
          <w:rFonts w:ascii="Times New Roman" w:hAnsi="Times New Roman" w:cs="Times New Roman"/>
          <w:sz w:val="24"/>
          <w:szCs w:val="24"/>
        </w:rPr>
        <w:t xml:space="preserve"> </w:t>
      </w:r>
      <w:r w:rsidR="004E37D3" w:rsidRPr="004E37D3">
        <w:rPr>
          <w:rFonts w:ascii="Times New Roman" w:hAnsi="Times New Roman" w:cs="Times New Roman"/>
          <w:sz w:val="24"/>
          <w:szCs w:val="24"/>
        </w:rPr>
        <w:t>August 2016 at 20:43, involving three offenders and one victim, presents different assaults.  The witness to this scenario gives a vivid description of the scene from the beginning till the end.  From the incident, it is unclear if Samuel Clark and Summer Breeze had some disagreement before, but the witness heard them telling him never to lay a hand on Summer again. Even though this statement cannot be confirmed, how Bubba Hurt and Skeeter Redrum confront him defines everything.  However, it is ironic when the “friend,” Summer Breeze, hits Samuel Clark at the end, leaving him unconscious in an attempt to save Bubba, who had been hit in the eye with an umbrella by Clark as he was trying to defend himself from the mob. Initially, the witness states Samuel ignored the two men but was unknowingly shoved from behind by Bubba Hurt, causing him to fall. Besides, Skeeter kicked him while he was trying to pick himself from the knockout.  Summer Breeze finally hits Clark with a shoe that leaves him unconscious before being taken to hospital with Bubba, who he had struck with the umbrella. The scenario ends tragically as Samuel Clark suffered a permanent brain injury while Bubba died while undergoing treatment in the hospital.  Therefore, as a District Attorney, it is fundaments to understand the type of assault each victim faced (simple assault, aggravated assault, or aggravated battery) to determine relevant charges for the survivors, if any.</w:t>
      </w:r>
      <w:r w:rsidR="004E37D3">
        <w:rPr>
          <w:rFonts w:ascii="Times New Roman" w:hAnsi="Times New Roman" w:cs="Times New Roman"/>
          <w:sz w:val="24"/>
          <w:szCs w:val="24"/>
        </w:rPr>
        <w:t xml:space="preserve"> </w:t>
      </w:r>
    </w:p>
    <w:p w:rsidR="000652EF" w:rsidRDefault="000652EF" w:rsidP="00F7268E">
      <w:pPr>
        <w:rPr>
          <w:rFonts w:ascii="Times New Roman" w:hAnsi="Times New Roman" w:cs="Times New Roman"/>
          <w:sz w:val="24"/>
          <w:szCs w:val="24"/>
        </w:rPr>
      </w:pPr>
      <w:r>
        <w:rPr>
          <w:rFonts w:ascii="Times New Roman" w:hAnsi="Times New Roman" w:cs="Times New Roman"/>
          <w:sz w:val="24"/>
          <w:szCs w:val="24"/>
        </w:rPr>
        <w:tab/>
      </w:r>
      <w:r w:rsidR="00E4769F" w:rsidRPr="00E4769F">
        <w:rPr>
          <w:rFonts w:ascii="Times New Roman" w:hAnsi="Times New Roman" w:cs="Times New Roman"/>
          <w:sz w:val="24"/>
          <w:szCs w:val="24"/>
        </w:rPr>
        <w:t xml:space="preserve">There are two primary categories of assaults under the legislative system in Georgia.   They include; simple and aggravated assault, which may further be classified as aggravated </w:t>
      </w:r>
      <w:r w:rsidR="00E4769F" w:rsidRPr="00E4769F">
        <w:rPr>
          <w:rFonts w:ascii="Times New Roman" w:hAnsi="Times New Roman" w:cs="Times New Roman"/>
          <w:sz w:val="24"/>
          <w:szCs w:val="24"/>
        </w:rPr>
        <w:lastRenderedPageBreak/>
        <w:t>battery.   Firstly, simple assault occurs when one attempts to harm the second party or performs an act that places the victim in reasonable apprehension of receiving injury (Fisher, Simple Assault in Georgia para 2).  For example, when arguing with an enemy, one pulls back and shows his opponent a machete. In response, the second party may believe that they will be chopped and runs away. Despite not intending to causes apprehension to the second party, intentionally removing the machete is an act that may result in apprehension; thus should be punishable by law.  Conversely, aggravated assault happens when one uses deadly objects to inflict serious injury to another person (Fisher, “Aggravated Assault in Georgia: Minimum Prison Time under OCGA 16-5-21”). In the provided case, it is not clear w</w:t>
      </w:r>
      <w:r w:rsidR="00463F10">
        <w:rPr>
          <w:rFonts w:ascii="Times New Roman" w:hAnsi="Times New Roman" w:cs="Times New Roman"/>
          <w:sz w:val="24"/>
          <w:szCs w:val="24"/>
        </w:rPr>
        <w:t>hether Samuel</w:t>
      </w:r>
      <w:r w:rsidR="00E4769F" w:rsidRPr="00E4769F">
        <w:rPr>
          <w:rFonts w:ascii="Times New Roman" w:hAnsi="Times New Roman" w:cs="Times New Roman"/>
          <w:sz w:val="24"/>
          <w:szCs w:val="24"/>
        </w:rPr>
        <w:t xml:space="preserve"> Clark intentionally swung his umbrella at Bubba Hurt's eye, who eventually died. However, as an attorney, it will be essential to consider the description of eye witness at the scene.  If found guilty, Clark may be charged for committing aggravated assault which led to the death of Bubba Hurt. Finally, aggravated battery is the actual assault or offense where one makes physical contact with an object or using a fist during the confrontation (JUSTIA US law para 1). For example, Summer Breeze, Clarks’ “girlfriend,” committed a butter assault by hitting </w:t>
      </w:r>
      <w:r w:rsidR="008461BA" w:rsidRPr="00E4769F">
        <w:rPr>
          <w:rFonts w:ascii="Times New Roman" w:hAnsi="Times New Roman" w:cs="Times New Roman"/>
          <w:sz w:val="24"/>
          <w:szCs w:val="24"/>
        </w:rPr>
        <w:t>summer</w:t>
      </w:r>
      <w:r w:rsidR="00E4769F" w:rsidRPr="00E4769F">
        <w:rPr>
          <w:rFonts w:ascii="Times New Roman" w:hAnsi="Times New Roman" w:cs="Times New Roman"/>
          <w:sz w:val="24"/>
          <w:szCs w:val="24"/>
        </w:rPr>
        <w:t xml:space="preserve"> with the shoe leaving him unconscious. Similarly, Skeeter Redrum should also be charged for committing as he might have contributed to the permanent brain injury when he kicked Clarks' face.  Besides, if Bubba had not died from the incident, he could have faced the exact charges as he was the genesis o</w:t>
      </w:r>
      <w:r w:rsidR="00463F10">
        <w:rPr>
          <w:rFonts w:ascii="Times New Roman" w:hAnsi="Times New Roman" w:cs="Times New Roman"/>
          <w:sz w:val="24"/>
          <w:szCs w:val="24"/>
        </w:rPr>
        <w:t>f all these-as; he shoved Samuel</w:t>
      </w:r>
      <w:r w:rsidR="00E4769F" w:rsidRPr="00E4769F">
        <w:rPr>
          <w:rFonts w:ascii="Times New Roman" w:hAnsi="Times New Roman" w:cs="Times New Roman"/>
          <w:sz w:val="24"/>
          <w:szCs w:val="24"/>
        </w:rPr>
        <w:t xml:space="preserve"> Clark from the back, unknowingly causing him to fall.</w:t>
      </w:r>
      <w:r w:rsidR="00E4769F">
        <w:rPr>
          <w:rFonts w:ascii="Times New Roman" w:hAnsi="Times New Roman" w:cs="Times New Roman"/>
          <w:sz w:val="24"/>
          <w:szCs w:val="24"/>
        </w:rPr>
        <w:t xml:space="preserve"> </w:t>
      </w:r>
    </w:p>
    <w:p w:rsidR="00FD40C5" w:rsidRDefault="001F163E" w:rsidP="001F163E">
      <w:pPr>
        <w:rPr>
          <w:rFonts w:ascii="Times New Roman" w:hAnsi="Times New Roman" w:cs="Times New Roman"/>
          <w:sz w:val="24"/>
          <w:szCs w:val="24"/>
        </w:rPr>
      </w:pPr>
      <w:r w:rsidRPr="001F163E">
        <w:rPr>
          <w:rFonts w:ascii="Times New Roman" w:hAnsi="Times New Roman" w:cs="Times New Roman"/>
          <w:sz w:val="24"/>
          <w:szCs w:val="24"/>
        </w:rPr>
        <w:t xml:space="preserve">           The type of charges each party involved in the case is measured with the degree of assault and potential defense mechanism against an assault or battery. For example, if evidence were found that Samuel Clark had been having a physical confrontation with his “girlfriend,” he </w:t>
      </w:r>
      <w:r w:rsidRPr="001F163E">
        <w:rPr>
          <w:rFonts w:ascii="Times New Roman" w:hAnsi="Times New Roman" w:cs="Times New Roman"/>
          <w:sz w:val="24"/>
          <w:szCs w:val="24"/>
        </w:rPr>
        <w:lastRenderedPageBreak/>
        <w:t>would be charged with aggravated battery depending on the evidence. However, this assumption cannot be made as there was no evidence to confirm their friendship or physical assault. Conversely, Skeeter Redrum and Summer Breezer should pay a fine of at least $2000 besides imprisonment between one to twenty years. Both parties hit Samuel when he was helpless, with each hitting his head (kicking and using a shoe).  According to the witness explanation, they caused permanent head trauma to the victim, and the action was done intentionally (The ABT Law Firm, LLC).  If Bubba Hurt had survived the hitting with the umbrella, he would also have been charged with first-degree aggravated battery for shoving Samuel Clark from the back, forcing him to fall. Nevertheless, Samuel Clark should not face any charges as hitting Bubba with an umbrella was not intentional but self-defense. According to the witnesses, he tried to ignore the two men by walking away. Secondly, Clark opened up the umbrella as it started raining; thus, it was logical to do it. Hitting Bubba was not intentional neither did he target his eye, but he protected himself from self-harm.  Therefore, his charge may be dismissed or reduced as the madder was not intentional.</w:t>
      </w:r>
      <w:r>
        <w:rPr>
          <w:rFonts w:ascii="Times New Roman" w:hAnsi="Times New Roman" w:cs="Times New Roman"/>
          <w:sz w:val="24"/>
          <w:szCs w:val="24"/>
        </w:rPr>
        <w:t xml:space="preserve"> </w:t>
      </w:r>
    </w:p>
    <w:p w:rsidR="00C17C08" w:rsidRDefault="00C17C08" w:rsidP="001F163E">
      <w:pPr>
        <w:rPr>
          <w:rFonts w:ascii="Times New Roman" w:hAnsi="Times New Roman" w:cs="Times New Roman"/>
          <w:sz w:val="24"/>
          <w:szCs w:val="24"/>
        </w:rPr>
      </w:pPr>
      <w:r w:rsidRPr="00C17C08">
        <w:rPr>
          <w:rFonts w:ascii="Times New Roman" w:hAnsi="Times New Roman" w:cs="Times New Roman"/>
          <w:sz w:val="24"/>
          <w:szCs w:val="24"/>
        </w:rPr>
        <w:t xml:space="preserve">           The above scenario shows that the degree of assault and self-defense mechanism defines the charges one should be subjected to in court.  Typically, everyone uses his conscience to protect themselves against injury or death. Most states permit citizens to apply force to defend themselves from a physical assault (FindLaw para 1).  In Georgia, for instance, citizens are allowed to apply force to protect themselves from an attack regardless of the location.  Notably, victims are justified to apply force to defend themselves if they use unlawful force, as seen in Samuel Clark’s case. Additionally, one is permitted to use excess force to prevent great bodily harm or death. Nevertheless, one may be charged or punished if the initial aggressor committed or tried to commit the offense intentionally. An act may be considered an assault if the offender commits an injury to a third party. The charges, however, are measured depending on the aftermath of the infliction to the victim and the weapon used to perform the act.</w:t>
      </w:r>
    </w:p>
    <w:p w:rsidR="00884F27" w:rsidRDefault="00884F27" w:rsidP="001F163E">
      <w:pPr>
        <w:rPr>
          <w:rFonts w:ascii="Times New Roman" w:hAnsi="Times New Roman" w:cs="Times New Roman"/>
          <w:sz w:val="24"/>
          <w:szCs w:val="24"/>
        </w:rPr>
      </w:pPr>
      <w:r>
        <w:rPr>
          <w:rFonts w:ascii="Times New Roman" w:hAnsi="Times New Roman" w:cs="Times New Roman"/>
          <w:sz w:val="24"/>
          <w:szCs w:val="24"/>
        </w:rPr>
        <w:tab/>
      </w:r>
      <w:r w:rsidR="00C17C08" w:rsidRPr="00C17C08">
        <w:rPr>
          <w:rFonts w:ascii="Times New Roman" w:hAnsi="Times New Roman" w:cs="Times New Roman"/>
          <w:sz w:val="24"/>
          <w:szCs w:val="24"/>
        </w:rPr>
        <w:t xml:space="preserve">In conclusion, the provided case showcases a good example of incidents that would lead to punishment by law for physical assault and charges. Legally, one is allowed to use excessive force to defend themselves from harm. Besides, the charges for an assault are determined by the weapon used during the confrontation, the initiator, and physical harm. Notably, these charges maybe more if the offense is directed to an expectant mother, older person, police offices, or caregiver at school or home. Therefore, as district attorney, I would charge Summer Breeze and Skeeter Redrum with an aggravated battery as they contributed to the permanent brain injury of Samuel. Besides, each person will pay a fine of $2000, including restitution. However, Samuel will be released with no charges as hitting Bubba with the umbrella was never intentional but was done for self-defense but ended unexpectedly.  </w:t>
      </w:r>
      <w:r w:rsidR="00C17C08">
        <w:rPr>
          <w:rFonts w:ascii="Times New Roman" w:hAnsi="Times New Roman" w:cs="Times New Roman"/>
          <w:sz w:val="24"/>
          <w:szCs w:val="24"/>
        </w:rPr>
        <w:t xml:space="preserve"> </w:t>
      </w:r>
    </w:p>
    <w:p w:rsidR="004B5EEF" w:rsidRDefault="004B5EEF" w:rsidP="001F163E">
      <w:pPr>
        <w:rPr>
          <w:rFonts w:ascii="Times New Roman" w:hAnsi="Times New Roman" w:cs="Times New Roman"/>
          <w:sz w:val="24"/>
          <w:szCs w:val="24"/>
        </w:rPr>
      </w:pPr>
    </w:p>
    <w:p w:rsidR="004B5EEF" w:rsidRDefault="004B5EEF" w:rsidP="001F163E">
      <w:pPr>
        <w:rPr>
          <w:rFonts w:ascii="Times New Roman" w:hAnsi="Times New Roman" w:cs="Times New Roman"/>
          <w:sz w:val="24"/>
          <w:szCs w:val="24"/>
        </w:rPr>
      </w:pPr>
    </w:p>
    <w:p w:rsidR="004B5EEF" w:rsidRDefault="004B5EEF" w:rsidP="001F163E">
      <w:pPr>
        <w:rPr>
          <w:rFonts w:ascii="Times New Roman" w:hAnsi="Times New Roman" w:cs="Times New Roman"/>
          <w:sz w:val="24"/>
          <w:szCs w:val="24"/>
        </w:rPr>
      </w:pPr>
    </w:p>
    <w:p w:rsidR="004B5EEF" w:rsidRDefault="004B5EEF" w:rsidP="001F163E">
      <w:pPr>
        <w:rPr>
          <w:rFonts w:ascii="Times New Roman" w:hAnsi="Times New Roman" w:cs="Times New Roman"/>
          <w:sz w:val="24"/>
          <w:szCs w:val="24"/>
        </w:rPr>
      </w:pPr>
    </w:p>
    <w:p w:rsidR="004B5EEF" w:rsidRDefault="004B5EEF" w:rsidP="001F163E">
      <w:pPr>
        <w:rPr>
          <w:rFonts w:ascii="Times New Roman" w:hAnsi="Times New Roman" w:cs="Times New Roman"/>
          <w:sz w:val="24"/>
          <w:szCs w:val="24"/>
        </w:rPr>
      </w:pPr>
    </w:p>
    <w:p w:rsidR="004B5EEF" w:rsidRDefault="004B5EEF" w:rsidP="001F163E">
      <w:pPr>
        <w:rPr>
          <w:rFonts w:ascii="Times New Roman" w:hAnsi="Times New Roman" w:cs="Times New Roman"/>
          <w:sz w:val="24"/>
          <w:szCs w:val="24"/>
        </w:rPr>
      </w:pPr>
    </w:p>
    <w:p w:rsidR="004B5EEF" w:rsidRDefault="004B5EEF" w:rsidP="001F163E">
      <w:pPr>
        <w:rPr>
          <w:rFonts w:ascii="Times New Roman" w:hAnsi="Times New Roman" w:cs="Times New Roman"/>
          <w:sz w:val="24"/>
          <w:szCs w:val="24"/>
        </w:rPr>
      </w:pPr>
    </w:p>
    <w:p w:rsidR="004B5EEF" w:rsidRDefault="004B5EEF" w:rsidP="001F163E">
      <w:pPr>
        <w:rPr>
          <w:rFonts w:ascii="Times New Roman" w:hAnsi="Times New Roman" w:cs="Times New Roman"/>
          <w:sz w:val="24"/>
          <w:szCs w:val="24"/>
        </w:rPr>
      </w:pPr>
    </w:p>
    <w:p w:rsidR="00C17C08" w:rsidRDefault="00C17C08" w:rsidP="001F163E">
      <w:pPr>
        <w:rPr>
          <w:rFonts w:ascii="Times New Roman" w:hAnsi="Times New Roman" w:cs="Times New Roman"/>
          <w:sz w:val="24"/>
          <w:szCs w:val="24"/>
        </w:rPr>
      </w:pPr>
    </w:p>
    <w:p w:rsidR="004B5EEF" w:rsidRDefault="004B5EEF" w:rsidP="001F163E">
      <w:pPr>
        <w:rPr>
          <w:rFonts w:ascii="Times New Roman" w:hAnsi="Times New Roman" w:cs="Times New Roman"/>
          <w:sz w:val="24"/>
          <w:szCs w:val="24"/>
        </w:rPr>
      </w:pPr>
    </w:p>
    <w:p w:rsidR="004B5EEF" w:rsidRDefault="004B5EEF" w:rsidP="001F163E">
      <w:pPr>
        <w:rPr>
          <w:rFonts w:ascii="Times New Roman" w:hAnsi="Times New Roman" w:cs="Times New Roman"/>
          <w:sz w:val="24"/>
          <w:szCs w:val="24"/>
        </w:rPr>
      </w:pPr>
    </w:p>
    <w:p w:rsidR="004B5EEF" w:rsidRDefault="004B5EEF" w:rsidP="004B5EEF">
      <w:pPr>
        <w:pStyle w:val="NormalWeb"/>
        <w:spacing w:before="0" w:beforeAutospacing="0" w:after="0" w:afterAutospacing="0" w:line="480" w:lineRule="auto"/>
        <w:jc w:val="center"/>
      </w:pPr>
      <w:r>
        <w:t>Works Cited</w:t>
      </w:r>
    </w:p>
    <w:p w:rsidR="004B5EEF" w:rsidRDefault="004B5EEF" w:rsidP="004B5EEF">
      <w:pPr>
        <w:pStyle w:val="NormalWeb"/>
        <w:spacing w:before="0" w:beforeAutospacing="0" w:after="0" w:afterAutospacing="0" w:line="480" w:lineRule="auto"/>
        <w:ind w:left="720" w:hanging="720"/>
      </w:pPr>
      <w:r>
        <w:t xml:space="preserve">FindLaw. “Georgia Self-Defense Laws.” </w:t>
      </w:r>
      <w:r>
        <w:rPr>
          <w:i/>
          <w:iCs/>
        </w:rPr>
        <w:t>Findlaw</w:t>
      </w:r>
      <w:r>
        <w:t>, 2019, statelaws.findlaw.com/georgia-law/georgia-self-defense-laws.html.</w:t>
      </w:r>
    </w:p>
    <w:p w:rsidR="004B5EEF" w:rsidRDefault="004B5EEF" w:rsidP="004B5EEF">
      <w:pPr>
        <w:pStyle w:val="NormalWeb"/>
        <w:spacing w:before="0" w:beforeAutospacing="0" w:after="0" w:afterAutospacing="0" w:line="480" w:lineRule="auto"/>
        <w:ind w:left="720" w:hanging="720"/>
      </w:pPr>
      <w:r>
        <w:t xml:space="preserve">Fisher, Kevin R. “Aggravated Assault in Georgia: Minimum Prison Time under OCGA 16-5-21.” </w:t>
      </w:r>
      <w:r>
        <w:rPr>
          <w:i/>
          <w:iCs/>
        </w:rPr>
        <w:t>Www.georgiacriminaldefense.com</w:t>
      </w:r>
      <w:r>
        <w:t>, 2021, www.georgiacriminaldefense.com/aggravated-assault-in-georgia-minimum-prison-time-under-ocga-16.html. Accessed 30 Aug. 2021.</w:t>
      </w:r>
    </w:p>
    <w:p w:rsidR="004B5EEF" w:rsidRDefault="004B5EEF" w:rsidP="004B5EEF">
      <w:pPr>
        <w:pStyle w:val="NormalWeb"/>
        <w:spacing w:before="0" w:beforeAutospacing="0" w:after="0" w:afterAutospacing="0" w:line="480" w:lineRule="auto"/>
      </w:pPr>
      <w:r>
        <w:t xml:space="preserve">Fisher, Kevin R. </w:t>
      </w:r>
      <w:r>
        <w:rPr>
          <w:i/>
          <w:iCs/>
        </w:rPr>
        <w:t>Simple Assault in Georgia</w:t>
      </w:r>
      <w:r>
        <w:t>. 16 Mar. 2018, kevinfisherlegal.com/home/criminal-law/pending-criminal-matters/crimes-against-people/simple-assault/. Accessed 30 Aug. 2021.</w:t>
      </w:r>
    </w:p>
    <w:p w:rsidR="004B5EEF" w:rsidRDefault="004B5EEF" w:rsidP="004B5EEF">
      <w:pPr>
        <w:pStyle w:val="NormalWeb"/>
        <w:spacing w:before="0" w:beforeAutospacing="0" w:after="0" w:afterAutospacing="0" w:line="480" w:lineRule="auto"/>
        <w:ind w:left="720" w:hanging="720"/>
      </w:pPr>
      <w:r>
        <w:t xml:space="preserve">JUSTIA US law. “2010 Georgia </w:t>
      </w:r>
      <w:r w:rsidR="0067795E">
        <w:t>Code:</w:t>
      </w:r>
      <w:r>
        <w:t xml:space="preserve"> Title 16 - Crimes and </w:t>
      </w:r>
      <w:r w:rsidR="0067795E">
        <w:t>Offenses:</w:t>
      </w:r>
      <w:r>
        <w:t xml:space="preserve"> CHAPTER 5 - Crimes against the Person: ARTICLE 2 -Assault and </w:t>
      </w:r>
      <w:bookmarkStart w:id="0" w:name="_GoBack"/>
      <w:bookmarkEnd w:id="0"/>
      <w:r w:rsidR="0067795E">
        <w:t>Battery: §</w:t>
      </w:r>
      <w:r>
        <w:t xml:space="preserve"> 16-5-24 - Aggravated Battery.” </w:t>
      </w:r>
      <w:r>
        <w:rPr>
          <w:i/>
          <w:iCs/>
        </w:rPr>
        <w:t>Justia Law</w:t>
      </w:r>
      <w:r>
        <w:t>, 2019, law.justia.com/codes/georgia/2010/title-16/chapter-5/article-2/16-5-24/. Accessed 30 Aug. 2021.</w:t>
      </w:r>
    </w:p>
    <w:p w:rsidR="004B5EEF" w:rsidRDefault="004B5EEF" w:rsidP="004B5EEF">
      <w:pPr>
        <w:pStyle w:val="NormalWeb"/>
        <w:spacing w:before="0" w:beforeAutospacing="0" w:after="0" w:afterAutospacing="0" w:line="480" w:lineRule="auto"/>
        <w:ind w:left="720" w:hanging="720"/>
      </w:pPr>
      <w:r>
        <w:t xml:space="preserve">The ABT Law Firm, LLC. “Atlanta Battery Defense Attorneys | FREE Case Consultation.” </w:t>
      </w:r>
      <w:r>
        <w:rPr>
          <w:i/>
          <w:iCs/>
        </w:rPr>
        <w:t>The Abt Law Firm, LLC</w:t>
      </w:r>
      <w:r>
        <w:t>, www.abtlaw.com/criminal-defense/violent-crimes/battery/. Accessed 30 Aug. 2021.</w:t>
      </w:r>
    </w:p>
    <w:p w:rsidR="004B5EEF" w:rsidRDefault="004B5EEF" w:rsidP="001F163E">
      <w:pPr>
        <w:rPr>
          <w:rFonts w:ascii="Times New Roman" w:hAnsi="Times New Roman" w:cs="Times New Roman"/>
          <w:sz w:val="24"/>
          <w:szCs w:val="24"/>
        </w:rPr>
      </w:pPr>
      <w:r>
        <w:rPr>
          <w:rFonts w:ascii="Times New Roman" w:hAnsi="Times New Roman" w:cs="Times New Roman"/>
          <w:sz w:val="24"/>
          <w:szCs w:val="24"/>
        </w:rPr>
        <w:t xml:space="preserve"> </w:t>
      </w:r>
    </w:p>
    <w:sectPr w:rsidR="004B5EEF">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2522" w:rsidRDefault="000C2522" w:rsidP="00A875A4">
      <w:pPr>
        <w:spacing w:line="240" w:lineRule="auto"/>
      </w:pPr>
      <w:r>
        <w:separator/>
      </w:r>
    </w:p>
  </w:endnote>
  <w:endnote w:type="continuationSeparator" w:id="0">
    <w:p w:rsidR="000C2522" w:rsidRDefault="000C2522" w:rsidP="00A875A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2522" w:rsidRDefault="000C2522" w:rsidP="00A875A4">
      <w:pPr>
        <w:spacing w:line="240" w:lineRule="auto"/>
      </w:pPr>
      <w:r>
        <w:separator/>
      </w:r>
    </w:p>
  </w:footnote>
  <w:footnote w:type="continuationSeparator" w:id="0">
    <w:p w:rsidR="000C2522" w:rsidRDefault="000C2522" w:rsidP="00A875A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488862821"/>
      <w:docPartObj>
        <w:docPartGallery w:val="Page Numbers (Top of Page)"/>
        <w:docPartUnique/>
      </w:docPartObj>
    </w:sdtPr>
    <w:sdtEndPr>
      <w:rPr>
        <w:noProof/>
      </w:rPr>
    </w:sdtEndPr>
    <w:sdtContent>
      <w:p w:rsidR="00A875A4" w:rsidRPr="00A875A4" w:rsidRDefault="00A875A4" w:rsidP="00A875A4">
        <w:pPr>
          <w:pStyle w:val="Header"/>
          <w:spacing w:line="480" w:lineRule="auto"/>
          <w:jc w:val="right"/>
          <w:rPr>
            <w:rFonts w:ascii="Times New Roman" w:hAnsi="Times New Roman" w:cs="Times New Roman"/>
            <w:sz w:val="24"/>
            <w:szCs w:val="24"/>
          </w:rPr>
        </w:pPr>
        <w:r w:rsidRPr="00A875A4">
          <w:rPr>
            <w:rFonts w:ascii="Times New Roman" w:hAnsi="Times New Roman" w:cs="Times New Roman"/>
            <w:sz w:val="24"/>
            <w:szCs w:val="24"/>
          </w:rPr>
          <w:t xml:space="preserve">Surname </w:t>
        </w:r>
        <w:r w:rsidRPr="00A875A4">
          <w:rPr>
            <w:rFonts w:ascii="Times New Roman" w:hAnsi="Times New Roman" w:cs="Times New Roman"/>
            <w:sz w:val="24"/>
            <w:szCs w:val="24"/>
          </w:rPr>
          <w:fldChar w:fldCharType="begin"/>
        </w:r>
        <w:r w:rsidRPr="00A875A4">
          <w:rPr>
            <w:rFonts w:ascii="Times New Roman" w:hAnsi="Times New Roman" w:cs="Times New Roman"/>
            <w:sz w:val="24"/>
            <w:szCs w:val="24"/>
          </w:rPr>
          <w:instrText xml:space="preserve"> PAGE   \* MERGEFORMAT </w:instrText>
        </w:r>
        <w:r w:rsidRPr="00A875A4">
          <w:rPr>
            <w:rFonts w:ascii="Times New Roman" w:hAnsi="Times New Roman" w:cs="Times New Roman"/>
            <w:sz w:val="24"/>
            <w:szCs w:val="24"/>
          </w:rPr>
          <w:fldChar w:fldCharType="separate"/>
        </w:r>
        <w:r w:rsidR="0067795E">
          <w:rPr>
            <w:rFonts w:ascii="Times New Roman" w:hAnsi="Times New Roman" w:cs="Times New Roman"/>
            <w:noProof/>
            <w:sz w:val="24"/>
            <w:szCs w:val="24"/>
          </w:rPr>
          <w:t>5</w:t>
        </w:r>
        <w:r w:rsidRPr="00A875A4">
          <w:rPr>
            <w:rFonts w:ascii="Times New Roman" w:hAnsi="Times New Roman" w:cs="Times New Roman"/>
            <w:noProof/>
            <w:sz w:val="24"/>
            <w:szCs w:val="24"/>
          </w:rPr>
          <w:fldChar w:fldCharType="end"/>
        </w:r>
      </w:p>
    </w:sdtContent>
  </w:sdt>
  <w:p w:rsidR="00A875A4" w:rsidRDefault="00A875A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76C1"/>
    <w:rsid w:val="00026777"/>
    <w:rsid w:val="000652EF"/>
    <w:rsid w:val="000C2522"/>
    <w:rsid w:val="0011451E"/>
    <w:rsid w:val="001216C3"/>
    <w:rsid w:val="001876C1"/>
    <w:rsid w:val="001F163E"/>
    <w:rsid w:val="002B0548"/>
    <w:rsid w:val="00463F10"/>
    <w:rsid w:val="004B5EEF"/>
    <w:rsid w:val="004E37D3"/>
    <w:rsid w:val="0067795E"/>
    <w:rsid w:val="006E2FC1"/>
    <w:rsid w:val="007959C8"/>
    <w:rsid w:val="008414FE"/>
    <w:rsid w:val="008461BA"/>
    <w:rsid w:val="00884F27"/>
    <w:rsid w:val="008A0B8C"/>
    <w:rsid w:val="009A3B30"/>
    <w:rsid w:val="009C1DD2"/>
    <w:rsid w:val="00A875A4"/>
    <w:rsid w:val="00B039C2"/>
    <w:rsid w:val="00B04C4B"/>
    <w:rsid w:val="00BB5309"/>
    <w:rsid w:val="00C17C08"/>
    <w:rsid w:val="00DA0316"/>
    <w:rsid w:val="00E03CF4"/>
    <w:rsid w:val="00E4769F"/>
    <w:rsid w:val="00E53C98"/>
    <w:rsid w:val="00E6666C"/>
    <w:rsid w:val="00EC3C06"/>
    <w:rsid w:val="00F70331"/>
    <w:rsid w:val="00F7268E"/>
    <w:rsid w:val="00FA1461"/>
    <w:rsid w:val="00FD40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2F3A16"/>
  <w15:chartTrackingRefBased/>
  <w15:docId w15:val="{D2F9E2D3-4129-4098-B4D8-DDD7212A2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48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875A4"/>
    <w:pPr>
      <w:tabs>
        <w:tab w:val="center" w:pos="4680"/>
        <w:tab w:val="right" w:pos="9360"/>
      </w:tabs>
      <w:spacing w:line="240" w:lineRule="auto"/>
    </w:pPr>
  </w:style>
  <w:style w:type="character" w:customStyle="1" w:styleId="HeaderChar">
    <w:name w:val="Header Char"/>
    <w:basedOn w:val="DefaultParagraphFont"/>
    <w:link w:val="Header"/>
    <w:uiPriority w:val="99"/>
    <w:rsid w:val="00A875A4"/>
  </w:style>
  <w:style w:type="paragraph" w:styleId="Footer">
    <w:name w:val="footer"/>
    <w:basedOn w:val="Normal"/>
    <w:link w:val="FooterChar"/>
    <w:uiPriority w:val="99"/>
    <w:unhideWhenUsed/>
    <w:rsid w:val="00A875A4"/>
    <w:pPr>
      <w:tabs>
        <w:tab w:val="center" w:pos="4680"/>
        <w:tab w:val="right" w:pos="9360"/>
      </w:tabs>
      <w:spacing w:line="240" w:lineRule="auto"/>
    </w:pPr>
  </w:style>
  <w:style w:type="character" w:customStyle="1" w:styleId="FooterChar">
    <w:name w:val="Footer Char"/>
    <w:basedOn w:val="DefaultParagraphFont"/>
    <w:link w:val="Footer"/>
    <w:uiPriority w:val="99"/>
    <w:rsid w:val="00A875A4"/>
  </w:style>
  <w:style w:type="character" w:styleId="Hyperlink">
    <w:name w:val="Hyperlink"/>
    <w:basedOn w:val="DefaultParagraphFont"/>
    <w:uiPriority w:val="99"/>
    <w:unhideWhenUsed/>
    <w:rsid w:val="009C1DD2"/>
    <w:rPr>
      <w:color w:val="0563C1" w:themeColor="hyperlink"/>
      <w:u w:val="single"/>
    </w:rPr>
  </w:style>
  <w:style w:type="paragraph" w:styleId="NormalWeb">
    <w:name w:val="Normal (Web)"/>
    <w:basedOn w:val="Normal"/>
    <w:uiPriority w:val="99"/>
    <w:semiHidden/>
    <w:unhideWhenUsed/>
    <w:rsid w:val="004B5EE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9472612">
      <w:bodyDiv w:val="1"/>
      <w:marLeft w:val="0"/>
      <w:marRight w:val="0"/>
      <w:marTop w:val="0"/>
      <w:marBottom w:val="0"/>
      <w:divBdr>
        <w:top w:val="none" w:sz="0" w:space="0" w:color="auto"/>
        <w:left w:val="none" w:sz="0" w:space="0" w:color="auto"/>
        <w:bottom w:val="none" w:sz="0" w:space="0" w:color="auto"/>
        <w:right w:val="none" w:sz="0" w:space="0" w:color="auto"/>
      </w:divBdr>
      <w:divsChild>
        <w:div w:id="1015340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1203</Words>
  <Characters>6863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User</cp:lastModifiedBy>
  <cp:revision>2</cp:revision>
  <dcterms:created xsi:type="dcterms:W3CDTF">2021-08-30T08:33:00Z</dcterms:created>
  <dcterms:modified xsi:type="dcterms:W3CDTF">2021-08-30T08:33:00Z</dcterms:modified>
</cp:coreProperties>
</file>